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0D" w:rsidRPr="002C4B3C" w:rsidRDefault="001D2A0D" w:rsidP="001D2A0D">
      <w:pP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r w:rsidRPr="002C4B3C">
        <w:rPr>
          <w:rFonts w:asciiTheme="majorHAnsi" w:hAnsiTheme="majorHAnsi"/>
          <w:b/>
          <w:sz w:val="40"/>
          <w:szCs w:val="40"/>
        </w:rPr>
        <w:t>CO</w:t>
      </w:r>
      <w:r w:rsidR="00133EDF">
        <w:rPr>
          <w:rFonts w:asciiTheme="majorHAnsi" w:hAnsiTheme="majorHAnsi"/>
          <w:b/>
          <w:sz w:val="40"/>
          <w:szCs w:val="40"/>
        </w:rPr>
        <w:t>MISSÕES PERMANENTES – BIÊNIO 2021</w:t>
      </w:r>
      <w:r w:rsidRPr="002C4B3C">
        <w:rPr>
          <w:rFonts w:asciiTheme="majorHAnsi" w:hAnsiTheme="majorHAnsi"/>
          <w:b/>
          <w:sz w:val="40"/>
          <w:szCs w:val="40"/>
        </w:rPr>
        <w:t>/</w:t>
      </w:r>
      <w:r w:rsidR="00133EDF">
        <w:rPr>
          <w:rFonts w:asciiTheme="majorHAnsi" w:hAnsiTheme="majorHAnsi"/>
          <w:b/>
          <w:sz w:val="40"/>
          <w:szCs w:val="40"/>
        </w:rPr>
        <w:t>2022</w:t>
      </w:r>
    </w:p>
    <w:bookmarkEnd w:id="0"/>
    <w:p w:rsidR="001D2A0D" w:rsidRDefault="001D2A0D" w:rsidP="001D2A0D">
      <w:pPr>
        <w:jc w:val="both"/>
        <w:rPr>
          <w:rFonts w:asciiTheme="majorHAnsi" w:hAnsiTheme="majorHAnsi"/>
          <w:b/>
          <w:sz w:val="32"/>
          <w:szCs w:val="32"/>
        </w:rPr>
      </w:pPr>
    </w:p>
    <w:p w:rsidR="001D2A0D" w:rsidRDefault="001D2A0D" w:rsidP="001D2A0D">
      <w:pPr>
        <w:jc w:val="both"/>
        <w:rPr>
          <w:rFonts w:asciiTheme="majorHAnsi" w:hAnsiTheme="majorHAnsi"/>
          <w:b/>
          <w:sz w:val="32"/>
          <w:szCs w:val="32"/>
        </w:rPr>
      </w:pPr>
      <w:r w:rsidRPr="002C4B3C">
        <w:rPr>
          <w:rFonts w:asciiTheme="majorHAnsi" w:hAnsiTheme="majorHAnsi"/>
          <w:b/>
          <w:sz w:val="32"/>
          <w:szCs w:val="32"/>
        </w:rPr>
        <w:t xml:space="preserve">Comissão Permanente de Legislação e Justiça. </w:t>
      </w:r>
    </w:p>
    <w:tbl>
      <w:tblPr>
        <w:tblStyle w:val="Tabelacomgrade"/>
        <w:tblW w:w="13750" w:type="dxa"/>
        <w:tblInd w:w="-5" w:type="dxa"/>
        <w:tblLook w:val="04A0" w:firstRow="1" w:lastRow="0" w:firstColumn="1" w:lastColumn="0" w:noHBand="0" w:noVBand="1"/>
      </w:tblPr>
      <w:tblGrid>
        <w:gridCol w:w="4395"/>
        <w:gridCol w:w="4536"/>
        <w:gridCol w:w="4819"/>
      </w:tblGrid>
      <w:tr w:rsidR="001D2A0D" w:rsidTr="008C69BA">
        <w:tc>
          <w:tcPr>
            <w:tcW w:w="4395" w:type="dxa"/>
          </w:tcPr>
          <w:p w:rsidR="001D2A0D" w:rsidRPr="001D2A0D" w:rsidRDefault="001D2A0D" w:rsidP="00EA1A88">
            <w:pPr>
              <w:ind w:left="-108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1D2A0D">
              <w:rPr>
                <w:rFonts w:ascii="Cambria" w:hAnsi="Cambria"/>
                <w:b/>
                <w:sz w:val="32"/>
                <w:szCs w:val="32"/>
              </w:rPr>
              <w:t>Composição por Parlamentares</w:t>
            </w:r>
          </w:p>
        </w:tc>
        <w:tc>
          <w:tcPr>
            <w:tcW w:w="4536" w:type="dxa"/>
          </w:tcPr>
          <w:p w:rsidR="001D2A0D" w:rsidRPr="001D2A0D" w:rsidRDefault="001D2A0D" w:rsidP="001D2A0D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1D2A0D">
              <w:rPr>
                <w:rFonts w:ascii="Cambria" w:hAnsi="Cambria"/>
                <w:b/>
                <w:sz w:val="32"/>
                <w:szCs w:val="32"/>
              </w:rPr>
              <w:t>Membros</w:t>
            </w:r>
          </w:p>
        </w:tc>
        <w:tc>
          <w:tcPr>
            <w:tcW w:w="4819" w:type="dxa"/>
          </w:tcPr>
          <w:p w:rsidR="001D2A0D" w:rsidRPr="001D2A0D" w:rsidRDefault="001D2A0D" w:rsidP="001D2A0D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1D2A0D">
              <w:rPr>
                <w:rFonts w:ascii="Cambria" w:hAnsi="Cambria"/>
                <w:b/>
                <w:sz w:val="32"/>
                <w:szCs w:val="32"/>
              </w:rPr>
              <w:t>Partidos</w:t>
            </w:r>
          </w:p>
        </w:tc>
      </w:tr>
      <w:tr w:rsidR="001D2A0D" w:rsidTr="008C69BA">
        <w:tc>
          <w:tcPr>
            <w:tcW w:w="4395" w:type="dxa"/>
          </w:tcPr>
          <w:p w:rsidR="001D2A0D" w:rsidRPr="001D2A0D" w:rsidRDefault="00133EDF">
            <w:pPr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Isair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Francisco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Baldin</w:t>
            </w:r>
            <w:proofErr w:type="spellEnd"/>
          </w:p>
        </w:tc>
        <w:tc>
          <w:tcPr>
            <w:tcW w:w="4536" w:type="dxa"/>
          </w:tcPr>
          <w:p w:rsidR="001D2A0D" w:rsidRPr="001D2A0D" w:rsidRDefault="001D2A0D">
            <w:pPr>
              <w:rPr>
                <w:rFonts w:ascii="Cambria" w:hAnsi="Cambria"/>
                <w:b/>
                <w:sz w:val="28"/>
                <w:szCs w:val="28"/>
              </w:rPr>
            </w:pPr>
            <w:r w:rsidRPr="001D2A0D">
              <w:rPr>
                <w:rFonts w:ascii="Cambria" w:hAnsi="Cambria"/>
                <w:b/>
                <w:sz w:val="28"/>
                <w:szCs w:val="28"/>
              </w:rPr>
              <w:t>Presidente</w:t>
            </w:r>
          </w:p>
        </w:tc>
        <w:tc>
          <w:tcPr>
            <w:tcW w:w="4819" w:type="dxa"/>
          </w:tcPr>
          <w:p w:rsidR="001D2A0D" w:rsidRPr="001D2A0D" w:rsidRDefault="00133EDF" w:rsidP="001D2A0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PP</w:t>
            </w:r>
          </w:p>
        </w:tc>
      </w:tr>
      <w:tr w:rsidR="001D2A0D" w:rsidTr="008C69BA">
        <w:tc>
          <w:tcPr>
            <w:tcW w:w="4395" w:type="dxa"/>
          </w:tcPr>
          <w:p w:rsidR="001D2A0D" w:rsidRPr="001D2A0D" w:rsidRDefault="00133EDF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Reinaldo Martins Brum</w:t>
            </w:r>
          </w:p>
        </w:tc>
        <w:tc>
          <w:tcPr>
            <w:tcW w:w="4536" w:type="dxa"/>
          </w:tcPr>
          <w:p w:rsidR="001D2A0D" w:rsidRPr="001D2A0D" w:rsidRDefault="001D2A0D" w:rsidP="001D2A0D">
            <w:pPr>
              <w:rPr>
                <w:rFonts w:ascii="Cambria" w:hAnsi="Cambria"/>
                <w:b/>
                <w:sz w:val="28"/>
                <w:szCs w:val="28"/>
              </w:rPr>
            </w:pPr>
            <w:r w:rsidRPr="001D2A0D">
              <w:rPr>
                <w:rFonts w:ascii="Cambria" w:hAnsi="Cambria"/>
                <w:b/>
                <w:sz w:val="28"/>
                <w:szCs w:val="28"/>
              </w:rPr>
              <w:t>Vice-Presidente</w:t>
            </w:r>
          </w:p>
        </w:tc>
        <w:tc>
          <w:tcPr>
            <w:tcW w:w="4819" w:type="dxa"/>
          </w:tcPr>
          <w:p w:rsidR="001D2A0D" w:rsidRPr="001D2A0D" w:rsidRDefault="001D2A0D" w:rsidP="001D2A0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D2A0D">
              <w:rPr>
                <w:rFonts w:ascii="Cambria" w:hAnsi="Cambria"/>
                <w:b/>
                <w:sz w:val="28"/>
                <w:szCs w:val="28"/>
              </w:rPr>
              <w:t>PV</w:t>
            </w:r>
          </w:p>
        </w:tc>
      </w:tr>
      <w:tr w:rsidR="001D2A0D" w:rsidTr="008C69BA">
        <w:tc>
          <w:tcPr>
            <w:tcW w:w="4395" w:type="dxa"/>
          </w:tcPr>
          <w:p w:rsidR="001D2A0D" w:rsidRPr="001D2A0D" w:rsidRDefault="00133EDF" w:rsidP="001D2A0D">
            <w:pPr>
              <w:tabs>
                <w:tab w:val="left" w:pos="2493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Dione Ribeiro dos Santos</w:t>
            </w:r>
          </w:p>
        </w:tc>
        <w:tc>
          <w:tcPr>
            <w:tcW w:w="4536" w:type="dxa"/>
          </w:tcPr>
          <w:p w:rsidR="001D2A0D" w:rsidRPr="001D2A0D" w:rsidRDefault="001D2A0D" w:rsidP="001D2A0D">
            <w:pPr>
              <w:rPr>
                <w:rFonts w:ascii="Cambria" w:hAnsi="Cambria"/>
                <w:b/>
                <w:sz w:val="28"/>
                <w:szCs w:val="28"/>
              </w:rPr>
            </w:pPr>
            <w:r w:rsidRPr="001D2A0D">
              <w:rPr>
                <w:rFonts w:ascii="Cambria" w:hAnsi="Cambria"/>
                <w:b/>
                <w:sz w:val="28"/>
                <w:szCs w:val="28"/>
              </w:rPr>
              <w:t>Membro</w:t>
            </w:r>
          </w:p>
        </w:tc>
        <w:tc>
          <w:tcPr>
            <w:tcW w:w="4819" w:type="dxa"/>
          </w:tcPr>
          <w:p w:rsidR="001D2A0D" w:rsidRPr="001D2A0D" w:rsidRDefault="00133EDF" w:rsidP="001D2A0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DEM</w:t>
            </w:r>
          </w:p>
        </w:tc>
      </w:tr>
    </w:tbl>
    <w:p w:rsidR="007F21D3" w:rsidRDefault="001D2A0D" w:rsidP="001D2A0D">
      <w:pPr>
        <w:tabs>
          <w:tab w:val="left" w:pos="11391"/>
        </w:tabs>
      </w:pPr>
      <w:r>
        <w:tab/>
      </w:r>
    </w:p>
    <w:p w:rsidR="001D2A0D" w:rsidRPr="002C4B3C" w:rsidRDefault="001D2A0D" w:rsidP="008C69BA">
      <w:pPr>
        <w:tabs>
          <w:tab w:val="left" w:pos="13750"/>
        </w:tabs>
        <w:ind w:right="254"/>
        <w:rPr>
          <w:rFonts w:asciiTheme="majorHAnsi" w:hAnsiTheme="majorHAnsi"/>
          <w:b/>
          <w:sz w:val="28"/>
          <w:szCs w:val="28"/>
        </w:rPr>
      </w:pPr>
      <w:r w:rsidRPr="002C4B3C">
        <w:rPr>
          <w:rFonts w:asciiTheme="majorHAnsi" w:hAnsiTheme="majorHAnsi"/>
          <w:b/>
          <w:sz w:val="28"/>
          <w:szCs w:val="28"/>
        </w:rPr>
        <w:t>Atribuições da Comissão: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Art. 65 - Compete à Comissão de Legisl</w:t>
      </w:r>
      <w:r>
        <w:rPr>
          <w:rFonts w:asciiTheme="majorHAnsi" w:hAnsiTheme="majorHAnsi" w:cs="Times New Roman"/>
          <w:sz w:val="28"/>
          <w:szCs w:val="28"/>
        </w:rPr>
        <w:t>ação e Justiça manifestar-se sob</w:t>
      </w:r>
      <w:r w:rsidRPr="002C4B3C">
        <w:rPr>
          <w:rFonts w:asciiTheme="majorHAnsi" w:hAnsiTheme="majorHAnsi" w:cs="Times New Roman"/>
          <w:sz w:val="28"/>
          <w:szCs w:val="28"/>
        </w:rPr>
        <w:t>re todos os assuntos nos aspectos constitucional e legal e, analisa-lo sob os aspectos lógico e gramatical, de modo adequar ao bom vernáculo o texto das proposições.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§ 1º - Salvo expressa disposição em contrário deste Regimento, é obrigatória a audiência da Comissão de Legislação e Justiça em todos os Projetos de Lei, Decretos Legislativos e Resoluções que tramitarem pela Câmara Municipal.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 xml:space="preserve">§ 2º - Concluindo a Comissão de Legislação e Justiça pela ilegalidade ou inconstitucionalidade de um Projeto, seu parecer seguirá ao Plenário para ser discutido e, somente quando for rejeitado, prosseguirá </w:t>
      </w:r>
      <w:proofErr w:type="gramStart"/>
      <w:r w:rsidRPr="002C4B3C">
        <w:rPr>
          <w:rFonts w:asciiTheme="majorHAnsi" w:hAnsiTheme="majorHAnsi" w:cs="Times New Roman"/>
          <w:sz w:val="28"/>
          <w:szCs w:val="28"/>
        </w:rPr>
        <w:t>aquele sua tramitação</w:t>
      </w:r>
      <w:proofErr w:type="gramEnd"/>
      <w:r w:rsidRPr="002C4B3C">
        <w:rPr>
          <w:rFonts w:asciiTheme="majorHAnsi" w:hAnsiTheme="majorHAnsi" w:cs="Times New Roman"/>
          <w:sz w:val="28"/>
          <w:szCs w:val="28"/>
        </w:rPr>
        <w:t>.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lastRenderedPageBreak/>
        <w:t>§ 3º - A Comissão de Legislação e Justiça manifestar-se sobre o mérito da proposição, assim entendida à colocação do assunto sob o prisma de sua conveniência, utilidade e oportunidade principalmente nos seguintes casos: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 xml:space="preserve">I – </w:t>
      </w:r>
      <w:proofErr w:type="gramStart"/>
      <w:r w:rsidRPr="002C4B3C">
        <w:rPr>
          <w:rFonts w:asciiTheme="majorHAnsi" w:hAnsiTheme="majorHAnsi" w:cs="Times New Roman"/>
          <w:sz w:val="28"/>
          <w:szCs w:val="28"/>
        </w:rPr>
        <w:t>organização</w:t>
      </w:r>
      <w:proofErr w:type="gramEnd"/>
      <w:r w:rsidRPr="002C4B3C">
        <w:rPr>
          <w:rFonts w:asciiTheme="majorHAnsi" w:hAnsiTheme="majorHAnsi" w:cs="Times New Roman"/>
          <w:sz w:val="28"/>
          <w:szCs w:val="28"/>
        </w:rPr>
        <w:t xml:space="preserve"> administrativa da Prefeitura e da Câmara Municipal;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 xml:space="preserve">II – </w:t>
      </w:r>
      <w:proofErr w:type="gramStart"/>
      <w:r w:rsidRPr="002C4B3C">
        <w:rPr>
          <w:rFonts w:asciiTheme="majorHAnsi" w:hAnsiTheme="majorHAnsi" w:cs="Times New Roman"/>
          <w:sz w:val="28"/>
          <w:szCs w:val="28"/>
        </w:rPr>
        <w:t>criação</w:t>
      </w:r>
      <w:proofErr w:type="gramEnd"/>
      <w:r w:rsidRPr="002C4B3C">
        <w:rPr>
          <w:rFonts w:asciiTheme="majorHAnsi" w:hAnsiTheme="majorHAnsi" w:cs="Times New Roman"/>
          <w:sz w:val="28"/>
          <w:szCs w:val="28"/>
        </w:rPr>
        <w:t xml:space="preserve"> de entidade de administração indireta ou de fundação;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III – aquisição e alienação de bens imóveis;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 xml:space="preserve">IV – </w:t>
      </w:r>
      <w:proofErr w:type="gramStart"/>
      <w:r w:rsidRPr="002C4B3C">
        <w:rPr>
          <w:rFonts w:asciiTheme="majorHAnsi" w:hAnsiTheme="majorHAnsi" w:cs="Times New Roman"/>
          <w:sz w:val="28"/>
          <w:szCs w:val="28"/>
        </w:rPr>
        <w:t>participação</w:t>
      </w:r>
      <w:proofErr w:type="gramEnd"/>
      <w:r w:rsidRPr="002C4B3C">
        <w:rPr>
          <w:rFonts w:asciiTheme="majorHAnsi" w:hAnsiTheme="majorHAnsi" w:cs="Times New Roman"/>
          <w:sz w:val="28"/>
          <w:szCs w:val="28"/>
        </w:rPr>
        <w:t xml:space="preserve"> em consórcio;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 xml:space="preserve">V – </w:t>
      </w:r>
      <w:proofErr w:type="gramStart"/>
      <w:r w:rsidRPr="002C4B3C">
        <w:rPr>
          <w:rFonts w:asciiTheme="majorHAnsi" w:hAnsiTheme="majorHAnsi" w:cs="Times New Roman"/>
          <w:sz w:val="28"/>
          <w:szCs w:val="28"/>
        </w:rPr>
        <w:t>concessão</w:t>
      </w:r>
      <w:proofErr w:type="gramEnd"/>
      <w:r w:rsidRPr="002C4B3C">
        <w:rPr>
          <w:rFonts w:asciiTheme="majorHAnsi" w:hAnsiTheme="majorHAnsi" w:cs="Times New Roman"/>
          <w:sz w:val="28"/>
          <w:szCs w:val="28"/>
        </w:rPr>
        <w:t xml:space="preserve"> de licença ao Prefeito ou a Vereador;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 xml:space="preserve">VI – </w:t>
      </w:r>
      <w:proofErr w:type="gramStart"/>
      <w:r w:rsidRPr="002C4B3C">
        <w:rPr>
          <w:rFonts w:asciiTheme="majorHAnsi" w:hAnsiTheme="majorHAnsi" w:cs="Times New Roman"/>
          <w:sz w:val="28"/>
          <w:szCs w:val="28"/>
        </w:rPr>
        <w:t>alteração</w:t>
      </w:r>
      <w:proofErr w:type="gramEnd"/>
      <w:r w:rsidRPr="002C4B3C">
        <w:rPr>
          <w:rFonts w:asciiTheme="majorHAnsi" w:hAnsiTheme="majorHAnsi" w:cs="Times New Roman"/>
          <w:sz w:val="28"/>
          <w:szCs w:val="28"/>
        </w:rPr>
        <w:t xml:space="preserve"> de denominação de próprios, vias e logradouros públicos.</w:t>
      </w:r>
    </w:p>
    <w:p w:rsidR="001D2A0D" w:rsidRDefault="001D2A0D" w:rsidP="001D2A0D">
      <w:pPr>
        <w:tabs>
          <w:tab w:val="left" w:pos="11391"/>
        </w:tabs>
      </w:pPr>
    </w:p>
    <w:p w:rsidR="001D2A0D" w:rsidRPr="002C4B3C" w:rsidRDefault="001D2A0D" w:rsidP="001D2A0D">
      <w:pPr>
        <w:pStyle w:val="SemEspaamento"/>
        <w:rPr>
          <w:rFonts w:asciiTheme="majorHAnsi" w:hAnsiTheme="majorHAnsi" w:cs="Times New Roman"/>
          <w:b/>
          <w:sz w:val="32"/>
          <w:szCs w:val="32"/>
        </w:rPr>
      </w:pPr>
      <w:r w:rsidRPr="002C4B3C">
        <w:rPr>
          <w:rFonts w:asciiTheme="majorHAnsi" w:hAnsiTheme="majorHAnsi" w:cs="Times New Roman"/>
          <w:b/>
          <w:sz w:val="32"/>
          <w:szCs w:val="32"/>
        </w:rPr>
        <w:t>Comissão Permanente de Orçamento e Finanças.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1D2A0D" w:rsidTr="001D2A0D">
        <w:tc>
          <w:tcPr>
            <w:tcW w:w="4664" w:type="dxa"/>
          </w:tcPr>
          <w:p w:rsidR="001D2A0D" w:rsidRDefault="001D2A0D" w:rsidP="001D2A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 xml:space="preserve">Composição por </w:t>
            </w:r>
          </w:p>
          <w:p w:rsidR="001D2A0D" w:rsidRPr="002C4B3C" w:rsidRDefault="001D2A0D" w:rsidP="001D2A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Parlamentares</w:t>
            </w:r>
          </w:p>
        </w:tc>
        <w:tc>
          <w:tcPr>
            <w:tcW w:w="4665" w:type="dxa"/>
          </w:tcPr>
          <w:p w:rsidR="001D2A0D" w:rsidRPr="001D2A0D" w:rsidRDefault="001D2A0D" w:rsidP="001D2A0D">
            <w:pPr>
              <w:tabs>
                <w:tab w:val="left" w:pos="11391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D2A0D">
              <w:rPr>
                <w:rFonts w:ascii="Cambria" w:hAnsi="Cambria"/>
                <w:b/>
                <w:sz w:val="28"/>
                <w:szCs w:val="28"/>
              </w:rPr>
              <w:t>Membros</w:t>
            </w:r>
          </w:p>
        </w:tc>
        <w:tc>
          <w:tcPr>
            <w:tcW w:w="4665" w:type="dxa"/>
          </w:tcPr>
          <w:p w:rsidR="001D2A0D" w:rsidRPr="001D2A0D" w:rsidRDefault="001D2A0D" w:rsidP="001D2A0D">
            <w:pPr>
              <w:tabs>
                <w:tab w:val="left" w:pos="11391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D2A0D">
              <w:rPr>
                <w:rFonts w:ascii="Cambria" w:hAnsi="Cambria"/>
                <w:b/>
                <w:sz w:val="28"/>
                <w:szCs w:val="28"/>
              </w:rPr>
              <w:t>Partidos</w:t>
            </w:r>
          </w:p>
        </w:tc>
      </w:tr>
      <w:tr w:rsidR="001D2A0D" w:rsidTr="001D2A0D">
        <w:tc>
          <w:tcPr>
            <w:tcW w:w="4664" w:type="dxa"/>
          </w:tcPr>
          <w:p w:rsidR="001D2A0D" w:rsidRPr="00EA1A88" w:rsidRDefault="00133EDF" w:rsidP="001D2A0D">
            <w:pPr>
              <w:tabs>
                <w:tab w:val="left" w:pos="11391"/>
              </w:tabs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Erivelton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Bendicto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Navarro</w:t>
            </w:r>
          </w:p>
        </w:tc>
        <w:tc>
          <w:tcPr>
            <w:tcW w:w="4665" w:type="dxa"/>
          </w:tcPr>
          <w:p w:rsidR="001D2A0D" w:rsidRPr="00EA1A88" w:rsidRDefault="00EA1A88" w:rsidP="001D2A0D">
            <w:pPr>
              <w:tabs>
                <w:tab w:val="left" w:pos="11391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>Presidente</w:t>
            </w:r>
          </w:p>
        </w:tc>
        <w:tc>
          <w:tcPr>
            <w:tcW w:w="4665" w:type="dxa"/>
          </w:tcPr>
          <w:p w:rsidR="001D2A0D" w:rsidRPr="00EA1A88" w:rsidRDefault="00133EDF" w:rsidP="00EA1A88">
            <w:pPr>
              <w:tabs>
                <w:tab w:val="left" w:pos="11391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PSL</w:t>
            </w:r>
          </w:p>
        </w:tc>
      </w:tr>
      <w:tr w:rsidR="001D2A0D" w:rsidTr="001D2A0D">
        <w:tc>
          <w:tcPr>
            <w:tcW w:w="4664" w:type="dxa"/>
          </w:tcPr>
          <w:p w:rsidR="001D2A0D" w:rsidRPr="00EA1A88" w:rsidRDefault="00133EDF" w:rsidP="00EA1A88">
            <w:pPr>
              <w:tabs>
                <w:tab w:val="left" w:pos="11391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Elói Antônio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Ronsani</w:t>
            </w:r>
            <w:proofErr w:type="spellEnd"/>
          </w:p>
        </w:tc>
        <w:tc>
          <w:tcPr>
            <w:tcW w:w="4665" w:type="dxa"/>
          </w:tcPr>
          <w:p w:rsidR="001D2A0D" w:rsidRPr="00EA1A88" w:rsidRDefault="00EA1A88" w:rsidP="00EA1A88">
            <w:pPr>
              <w:tabs>
                <w:tab w:val="left" w:pos="11391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>Vice-Presidente</w:t>
            </w:r>
          </w:p>
        </w:tc>
        <w:tc>
          <w:tcPr>
            <w:tcW w:w="4665" w:type="dxa"/>
          </w:tcPr>
          <w:p w:rsidR="001D2A0D" w:rsidRPr="00EA1A88" w:rsidRDefault="00133EDF" w:rsidP="00EA1A88">
            <w:pPr>
              <w:tabs>
                <w:tab w:val="left" w:pos="11391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PV</w:t>
            </w:r>
          </w:p>
        </w:tc>
      </w:tr>
      <w:tr w:rsidR="001D2A0D" w:rsidTr="001D2A0D">
        <w:tc>
          <w:tcPr>
            <w:tcW w:w="4664" w:type="dxa"/>
          </w:tcPr>
          <w:p w:rsidR="001D2A0D" w:rsidRPr="00EA1A88" w:rsidRDefault="00133EDF" w:rsidP="00EA1A88">
            <w:pPr>
              <w:tabs>
                <w:tab w:val="left" w:pos="11391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Valdecir Sapata Jordão</w:t>
            </w:r>
          </w:p>
        </w:tc>
        <w:tc>
          <w:tcPr>
            <w:tcW w:w="4665" w:type="dxa"/>
          </w:tcPr>
          <w:p w:rsidR="001D2A0D" w:rsidRPr="00EA1A88" w:rsidRDefault="00EA1A88" w:rsidP="00EA1A88">
            <w:pPr>
              <w:tabs>
                <w:tab w:val="left" w:pos="11391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>Membro</w:t>
            </w:r>
          </w:p>
        </w:tc>
        <w:tc>
          <w:tcPr>
            <w:tcW w:w="4665" w:type="dxa"/>
          </w:tcPr>
          <w:p w:rsidR="001D2A0D" w:rsidRPr="00C4285B" w:rsidRDefault="00133EDF" w:rsidP="00EA1A88">
            <w:pPr>
              <w:tabs>
                <w:tab w:val="left" w:pos="11391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</w:t>
            </w:r>
            <w:r w:rsidR="00C4285B">
              <w:rPr>
                <w:rFonts w:ascii="Cambria" w:hAnsi="Cambria"/>
                <w:b/>
                <w:sz w:val="28"/>
                <w:szCs w:val="28"/>
              </w:rPr>
              <w:t>SB</w:t>
            </w:r>
          </w:p>
        </w:tc>
      </w:tr>
    </w:tbl>
    <w:p w:rsidR="001D2A0D" w:rsidRDefault="001D2A0D" w:rsidP="001D2A0D">
      <w:pPr>
        <w:tabs>
          <w:tab w:val="left" w:pos="11391"/>
        </w:tabs>
      </w:pP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Art. 66 - Compete à Comissão de Orçamento e Finanças opinar obrigatoriamente sobre todas as matérias de caráter financeiro, e especialmente quando for o caso de: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 xml:space="preserve">I – </w:t>
      </w:r>
      <w:proofErr w:type="gramStart"/>
      <w:r w:rsidRPr="002C4B3C">
        <w:rPr>
          <w:rFonts w:asciiTheme="majorHAnsi" w:hAnsiTheme="majorHAnsi" w:cs="Times New Roman"/>
          <w:sz w:val="28"/>
          <w:szCs w:val="28"/>
        </w:rPr>
        <w:t>plano</w:t>
      </w:r>
      <w:proofErr w:type="gramEnd"/>
      <w:r w:rsidRPr="002C4B3C">
        <w:rPr>
          <w:rFonts w:asciiTheme="majorHAnsi" w:hAnsiTheme="majorHAnsi" w:cs="Times New Roman"/>
          <w:sz w:val="28"/>
          <w:szCs w:val="28"/>
        </w:rPr>
        <w:t xml:space="preserve"> plurianual;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 xml:space="preserve">II – </w:t>
      </w:r>
      <w:proofErr w:type="gramStart"/>
      <w:r w:rsidRPr="002C4B3C">
        <w:rPr>
          <w:rFonts w:asciiTheme="majorHAnsi" w:hAnsiTheme="majorHAnsi" w:cs="Times New Roman"/>
          <w:sz w:val="28"/>
          <w:szCs w:val="28"/>
        </w:rPr>
        <w:t>diretrizes</w:t>
      </w:r>
      <w:proofErr w:type="gramEnd"/>
      <w:r w:rsidRPr="002C4B3C">
        <w:rPr>
          <w:rFonts w:asciiTheme="majorHAnsi" w:hAnsiTheme="majorHAnsi" w:cs="Times New Roman"/>
          <w:sz w:val="28"/>
          <w:szCs w:val="28"/>
        </w:rPr>
        <w:t xml:space="preserve"> orçamentárias;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III – proposta orçamentária;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lastRenderedPageBreak/>
        <w:t xml:space="preserve">IV – </w:t>
      </w:r>
      <w:proofErr w:type="gramStart"/>
      <w:r w:rsidRPr="002C4B3C">
        <w:rPr>
          <w:rFonts w:asciiTheme="majorHAnsi" w:hAnsiTheme="majorHAnsi" w:cs="Times New Roman"/>
          <w:sz w:val="28"/>
          <w:szCs w:val="28"/>
        </w:rPr>
        <w:t>proposição</w:t>
      </w:r>
      <w:proofErr w:type="gramEnd"/>
      <w:r w:rsidRPr="002C4B3C">
        <w:rPr>
          <w:rFonts w:asciiTheme="majorHAnsi" w:hAnsiTheme="majorHAnsi" w:cs="Times New Roman"/>
          <w:sz w:val="28"/>
          <w:szCs w:val="28"/>
        </w:rPr>
        <w:t xml:space="preserve"> referente a matéria tributária, abertura de crédito, empréstimos públicos e as que, direta ou indiretamente, alterem a despesa ou receita do Município, acarretem responsabilidade ao Erário Municipal ou interessem ao Crédito e ao Patrimônio Público Municipal;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 xml:space="preserve">V – </w:t>
      </w:r>
      <w:proofErr w:type="gramStart"/>
      <w:r w:rsidRPr="002C4B3C">
        <w:rPr>
          <w:rFonts w:asciiTheme="majorHAnsi" w:hAnsiTheme="majorHAnsi" w:cs="Times New Roman"/>
          <w:sz w:val="28"/>
          <w:szCs w:val="28"/>
        </w:rPr>
        <w:t>proposições</w:t>
      </w:r>
      <w:proofErr w:type="gramEnd"/>
      <w:r w:rsidRPr="002C4B3C">
        <w:rPr>
          <w:rFonts w:asciiTheme="majorHAnsi" w:hAnsiTheme="majorHAnsi" w:cs="Times New Roman"/>
          <w:sz w:val="28"/>
          <w:szCs w:val="28"/>
        </w:rPr>
        <w:t xml:space="preserve"> que fixem ou aumentem a remuneração do Prefeito, do Vice – Prefeito, dos Vereadores e Secretários Municipais.</w:t>
      </w:r>
    </w:p>
    <w:p w:rsidR="001D2A0D" w:rsidRDefault="001D2A0D" w:rsidP="001D2A0D">
      <w:pPr>
        <w:tabs>
          <w:tab w:val="left" w:pos="11391"/>
        </w:tabs>
      </w:pPr>
    </w:p>
    <w:p w:rsidR="001D2A0D" w:rsidRDefault="001D2A0D" w:rsidP="001D2A0D">
      <w:pPr>
        <w:tabs>
          <w:tab w:val="left" w:pos="11391"/>
        </w:tabs>
        <w:rPr>
          <w:rFonts w:asciiTheme="majorHAnsi" w:hAnsiTheme="majorHAnsi"/>
          <w:b/>
          <w:sz w:val="32"/>
          <w:szCs w:val="32"/>
        </w:rPr>
      </w:pPr>
      <w:r w:rsidRPr="002C4B3C">
        <w:rPr>
          <w:rFonts w:asciiTheme="majorHAnsi" w:hAnsiTheme="majorHAnsi"/>
          <w:b/>
          <w:sz w:val="32"/>
          <w:szCs w:val="32"/>
        </w:rPr>
        <w:t>Comissão Permanente de Fiscalização, Obras e Serviços Públicos.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1D2A0D" w:rsidTr="001D2A0D">
        <w:tc>
          <w:tcPr>
            <w:tcW w:w="4664" w:type="dxa"/>
          </w:tcPr>
          <w:p w:rsidR="001D2A0D" w:rsidRDefault="001D2A0D" w:rsidP="001D2A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 xml:space="preserve">Composição por </w:t>
            </w:r>
          </w:p>
          <w:p w:rsidR="001D2A0D" w:rsidRPr="002C4B3C" w:rsidRDefault="001D2A0D" w:rsidP="001D2A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Parlamentares</w:t>
            </w:r>
          </w:p>
        </w:tc>
        <w:tc>
          <w:tcPr>
            <w:tcW w:w="4665" w:type="dxa"/>
          </w:tcPr>
          <w:p w:rsidR="001D2A0D" w:rsidRPr="001D2A0D" w:rsidRDefault="001D2A0D" w:rsidP="001D2A0D">
            <w:pPr>
              <w:tabs>
                <w:tab w:val="left" w:pos="1741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D2A0D">
              <w:rPr>
                <w:rFonts w:ascii="Cambria" w:hAnsi="Cambria"/>
                <w:b/>
                <w:sz w:val="28"/>
                <w:szCs w:val="28"/>
              </w:rPr>
              <w:t>Membros</w:t>
            </w:r>
          </w:p>
        </w:tc>
        <w:tc>
          <w:tcPr>
            <w:tcW w:w="4665" w:type="dxa"/>
          </w:tcPr>
          <w:p w:rsidR="001D2A0D" w:rsidRPr="001D2A0D" w:rsidRDefault="001D2A0D" w:rsidP="001D2A0D">
            <w:pPr>
              <w:tabs>
                <w:tab w:val="left" w:pos="11391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D2A0D">
              <w:rPr>
                <w:rFonts w:ascii="Cambria" w:hAnsi="Cambria"/>
                <w:b/>
                <w:sz w:val="28"/>
                <w:szCs w:val="28"/>
              </w:rPr>
              <w:t>Partidos</w:t>
            </w:r>
          </w:p>
        </w:tc>
      </w:tr>
      <w:tr w:rsidR="001D2A0D" w:rsidTr="001D2A0D">
        <w:tc>
          <w:tcPr>
            <w:tcW w:w="4664" w:type="dxa"/>
          </w:tcPr>
          <w:p w:rsidR="001D2A0D" w:rsidRPr="00EA1A88" w:rsidRDefault="00C4285B" w:rsidP="00EA1A88">
            <w:pPr>
              <w:tabs>
                <w:tab w:val="left" w:pos="11391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Elói Antônio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Ronsani</w:t>
            </w:r>
            <w:proofErr w:type="spellEnd"/>
          </w:p>
        </w:tc>
        <w:tc>
          <w:tcPr>
            <w:tcW w:w="4665" w:type="dxa"/>
          </w:tcPr>
          <w:p w:rsidR="001D2A0D" w:rsidRPr="00EA1A88" w:rsidRDefault="00EA1A88" w:rsidP="00EA1A88">
            <w:pPr>
              <w:tabs>
                <w:tab w:val="left" w:pos="11391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>Presidente</w:t>
            </w:r>
          </w:p>
        </w:tc>
        <w:tc>
          <w:tcPr>
            <w:tcW w:w="4665" w:type="dxa"/>
          </w:tcPr>
          <w:p w:rsidR="001D2A0D" w:rsidRPr="00EA1A88" w:rsidRDefault="00EA1A88" w:rsidP="00EA1A88">
            <w:pPr>
              <w:tabs>
                <w:tab w:val="left" w:pos="11391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>PV</w:t>
            </w:r>
          </w:p>
        </w:tc>
      </w:tr>
      <w:tr w:rsidR="001D2A0D" w:rsidTr="001D2A0D">
        <w:tc>
          <w:tcPr>
            <w:tcW w:w="4664" w:type="dxa"/>
          </w:tcPr>
          <w:p w:rsidR="001D2A0D" w:rsidRPr="00EA1A88" w:rsidRDefault="00C4285B" w:rsidP="00EA1A88">
            <w:pPr>
              <w:tabs>
                <w:tab w:val="left" w:pos="11391"/>
              </w:tabs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EA1A88">
              <w:rPr>
                <w:rFonts w:ascii="Cambria" w:hAnsi="Cambria"/>
                <w:b/>
                <w:sz w:val="28"/>
                <w:szCs w:val="28"/>
              </w:rPr>
              <w:t>Izair</w:t>
            </w:r>
            <w:proofErr w:type="spellEnd"/>
            <w:r w:rsidRPr="00EA1A88">
              <w:rPr>
                <w:rFonts w:ascii="Cambria" w:hAnsi="Cambria"/>
                <w:b/>
                <w:sz w:val="28"/>
                <w:szCs w:val="28"/>
              </w:rPr>
              <w:t xml:space="preserve"> Francisco </w:t>
            </w:r>
            <w:proofErr w:type="spellStart"/>
            <w:r w:rsidRPr="00EA1A88">
              <w:rPr>
                <w:rFonts w:ascii="Cambria" w:hAnsi="Cambria"/>
                <w:b/>
                <w:sz w:val="28"/>
                <w:szCs w:val="28"/>
              </w:rPr>
              <w:t>Baldin</w:t>
            </w:r>
            <w:proofErr w:type="spellEnd"/>
          </w:p>
        </w:tc>
        <w:tc>
          <w:tcPr>
            <w:tcW w:w="4665" w:type="dxa"/>
          </w:tcPr>
          <w:p w:rsidR="001D2A0D" w:rsidRPr="00EA1A88" w:rsidRDefault="00EA1A88" w:rsidP="00EA1A88">
            <w:pPr>
              <w:tabs>
                <w:tab w:val="left" w:pos="11391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>Vice-Presidente</w:t>
            </w:r>
          </w:p>
        </w:tc>
        <w:tc>
          <w:tcPr>
            <w:tcW w:w="4665" w:type="dxa"/>
          </w:tcPr>
          <w:p w:rsidR="001D2A0D" w:rsidRPr="00EA1A88" w:rsidRDefault="00C4285B" w:rsidP="00EA1A88">
            <w:pPr>
              <w:tabs>
                <w:tab w:val="left" w:pos="11391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PP</w:t>
            </w:r>
          </w:p>
        </w:tc>
      </w:tr>
      <w:tr w:rsidR="001D2A0D" w:rsidTr="001D2A0D">
        <w:tc>
          <w:tcPr>
            <w:tcW w:w="4664" w:type="dxa"/>
          </w:tcPr>
          <w:p w:rsidR="001D2A0D" w:rsidRPr="00EA1A88" w:rsidRDefault="00C4285B" w:rsidP="001D2A0D">
            <w:pPr>
              <w:tabs>
                <w:tab w:val="left" w:pos="11391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Dione Ribeiro dos Santos</w:t>
            </w:r>
          </w:p>
        </w:tc>
        <w:tc>
          <w:tcPr>
            <w:tcW w:w="4665" w:type="dxa"/>
          </w:tcPr>
          <w:p w:rsidR="001D2A0D" w:rsidRPr="00EA1A88" w:rsidRDefault="00EA1A88" w:rsidP="00EA1A88">
            <w:pPr>
              <w:tabs>
                <w:tab w:val="left" w:pos="11391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>Membro</w:t>
            </w:r>
          </w:p>
        </w:tc>
        <w:tc>
          <w:tcPr>
            <w:tcW w:w="4665" w:type="dxa"/>
          </w:tcPr>
          <w:p w:rsidR="001D2A0D" w:rsidRPr="00EA1A88" w:rsidRDefault="00C4285B" w:rsidP="00EA1A88">
            <w:pPr>
              <w:tabs>
                <w:tab w:val="left" w:pos="11391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DEM</w:t>
            </w:r>
          </w:p>
        </w:tc>
      </w:tr>
    </w:tbl>
    <w:p w:rsidR="001D2A0D" w:rsidRDefault="001D2A0D" w:rsidP="001D2A0D">
      <w:pPr>
        <w:tabs>
          <w:tab w:val="left" w:pos="11391"/>
        </w:tabs>
      </w:pP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Art. 67 – Compete à Comissão de Fiscalização, Obras e Serviços Públicos opinar nas matérias referentes a quaisquer obras, empreendimento e execução de serviços públicos locais e ainda sobre assuntos ligados às atividades produtivas em geral, oficiais ou particulares e fiscalizar todos os atos contábeis, financeiros e orçamentários do Poder Executivo Municipal.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b/>
          <w:sz w:val="28"/>
          <w:szCs w:val="28"/>
        </w:rPr>
        <w:t>Parágrafo único –</w:t>
      </w:r>
      <w:r w:rsidRPr="002C4B3C">
        <w:rPr>
          <w:rFonts w:asciiTheme="majorHAnsi" w:hAnsiTheme="majorHAnsi" w:cs="Times New Roman"/>
          <w:sz w:val="28"/>
          <w:szCs w:val="28"/>
        </w:rPr>
        <w:t xml:space="preserve"> A Comissão de Fiscalização, Obras e Serviços Públicos opinará também sobre a matéria do artigo 65, § 3º, III e sobre o plano de desenvolvimento do Município e suas alterações.</w:t>
      </w:r>
    </w:p>
    <w:p w:rsidR="001D2A0D" w:rsidRDefault="001D2A0D" w:rsidP="001D2A0D">
      <w:pPr>
        <w:tabs>
          <w:tab w:val="left" w:pos="11391"/>
        </w:tabs>
      </w:pPr>
    </w:p>
    <w:p w:rsidR="001D2A0D" w:rsidRDefault="001D2A0D" w:rsidP="001D2A0D">
      <w:pPr>
        <w:jc w:val="both"/>
        <w:rPr>
          <w:rFonts w:asciiTheme="majorHAnsi" w:hAnsiTheme="majorHAnsi"/>
          <w:b/>
          <w:sz w:val="32"/>
          <w:szCs w:val="32"/>
        </w:rPr>
      </w:pPr>
    </w:p>
    <w:p w:rsidR="001D2A0D" w:rsidRDefault="001D2A0D" w:rsidP="001D2A0D">
      <w:pPr>
        <w:jc w:val="both"/>
        <w:rPr>
          <w:rFonts w:asciiTheme="majorHAnsi" w:hAnsiTheme="majorHAnsi"/>
          <w:b/>
          <w:sz w:val="32"/>
          <w:szCs w:val="32"/>
        </w:rPr>
      </w:pPr>
      <w:r w:rsidRPr="002C4B3C">
        <w:rPr>
          <w:rFonts w:asciiTheme="majorHAnsi" w:hAnsiTheme="majorHAnsi"/>
          <w:b/>
          <w:sz w:val="32"/>
          <w:szCs w:val="32"/>
        </w:rPr>
        <w:lastRenderedPageBreak/>
        <w:t>Comissão Permanente de Educação, Saúde e Assistência.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1D2A0D" w:rsidTr="001D2A0D">
        <w:tc>
          <w:tcPr>
            <w:tcW w:w="4664" w:type="dxa"/>
          </w:tcPr>
          <w:p w:rsidR="001D2A0D" w:rsidRDefault="001D2A0D" w:rsidP="001D2A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 xml:space="preserve">Composição por </w:t>
            </w:r>
          </w:p>
          <w:p w:rsidR="001D2A0D" w:rsidRPr="002C4B3C" w:rsidRDefault="001D2A0D" w:rsidP="001D2A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Parlamentar</w:t>
            </w:r>
          </w:p>
        </w:tc>
        <w:tc>
          <w:tcPr>
            <w:tcW w:w="4665" w:type="dxa"/>
          </w:tcPr>
          <w:p w:rsidR="001D2A0D" w:rsidRPr="001D2A0D" w:rsidRDefault="001D2A0D" w:rsidP="001D2A0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D2A0D">
              <w:rPr>
                <w:rFonts w:ascii="Cambria" w:hAnsi="Cambria"/>
                <w:b/>
                <w:sz w:val="28"/>
                <w:szCs w:val="28"/>
              </w:rPr>
              <w:t xml:space="preserve">Membros </w:t>
            </w:r>
          </w:p>
        </w:tc>
        <w:tc>
          <w:tcPr>
            <w:tcW w:w="4665" w:type="dxa"/>
          </w:tcPr>
          <w:p w:rsidR="001D2A0D" w:rsidRPr="001D2A0D" w:rsidRDefault="001D2A0D" w:rsidP="001D2A0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D2A0D">
              <w:rPr>
                <w:rFonts w:ascii="Cambria" w:hAnsi="Cambria"/>
                <w:b/>
                <w:sz w:val="28"/>
                <w:szCs w:val="28"/>
              </w:rPr>
              <w:t>Partidos</w:t>
            </w:r>
          </w:p>
        </w:tc>
      </w:tr>
      <w:tr w:rsidR="001D2A0D" w:rsidTr="001D2A0D">
        <w:tc>
          <w:tcPr>
            <w:tcW w:w="4664" w:type="dxa"/>
          </w:tcPr>
          <w:p w:rsidR="001D2A0D" w:rsidRPr="00EA1A88" w:rsidRDefault="00C4285B" w:rsidP="00EA1A88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Reinaldo Martins Brum</w:t>
            </w:r>
          </w:p>
        </w:tc>
        <w:tc>
          <w:tcPr>
            <w:tcW w:w="4665" w:type="dxa"/>
          </w:tcPr>
          <w:p w:rsidR="001D2A0D" w:rsidRPr="00EA1A88" w:rsidRDefault="00EA1A88" w:rsidP="00EA1A88">
            <w:pPr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>Presidente</w:t>
            </w:r>
          </w:p>
        </w:tc>
        <w:tc>
          <w:tcPr>
            <w:tcW w:w="4665" w:type="dxa"/>
          </w:tcPr>
          <w:p w:rsidR="001D2A0D" w:rsidRPr="00EA1A88" w:rsidRDefault="00C4285B" w:rsidP="00EA1A8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PV</w:t>
            </w:r>
          </w:p>
        </w:tc>
      </w:tr>
      <w:tr w:rsidR="001D2A0D" w:rsidTr="001D2A0D">
        <w:tc>
          <w:tcPr>
            <w:tcW w:w="4664" w:type="dxa"/>
          </w:tcPr>
          <w:p w:rsidR="001D2A0D" w:rsidRPr="00EA1A88" w:rsidRDefault="00C4285B" w:rsidP="00EA1A88">
            <w:pPr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Erivelton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Benedicto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Navarro</w:t>
            </w:r>
          </w:p>
        </w:tc>
        <w:tc>
          <w:tcPr>
            <w:tcW w:w="4665" w:type="dxa"/>
          </w:tcPr>
          <w:p w:rsidR="001D2A0D" w:rsidRPr="00EA1A88" w:rsidRDefault="00EA1A88" w:rsidP="00EA1A88">
            <w:pPr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>Vice-Presidente</w:t>
            </w:r>
          </w:p>
        </w:tc>
        <w:tc>
          <w:tcPr>
            <w:tcW w:w="4665" w:type="dxa"/>
          </w:tcPr>
          <w:p w:rsidR="001D2A0D" w:rsidRPr="00EA1A88" w:rsidRDefault="00C4285B" w:rsidP="00EA1A88">
            <w:pPr>
              <w:tabs>
                <w:tab w:val="left" w:pos="1354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PSL</w:t>
            </w:r>
          </w:p>
        </w:tc>
      </w:tr>
      <w:tr w:rsidR="001D2A0D" w:rsidTr="001D2A0D">
        <w:tc>
          <w:tcPr>
            <w:tcW w:w="4664" w:type="dxa"/>
          </w:tcPr>
          <w:p w:rsidR="001D2A0D" w:rsidRPr="00EA1A88" w:rsidRDefault="00C4285B" w:rsidP="00EA1A88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Antônio Marcos Quadros Severo</w:t>
            </w:r>
          </w:p>
        </w:tc>
        <w:tc>
          <w:tcPr>
            <w:tcW w:w="4665" w:type="dxa"/>
          </w:tcPr>
          <w:p w:rsidR="001D2A0D" w:rsidRPr="00EA1A88" w:rsidRDefault="00EA1A88" w:rsidP="00EA1A88">
            <w:pPr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>Membro</w:t>
            </w:r>
          </w:p>
        </w:tc>
        <w:tc>
          <w:tcPr>
            <w:tcW w:w="4665" w:type="dxa"/>
          </w:tcPr>
          <w:p w:rsidR="001D2A0D" w:rsidRPr="00EA1A88" w:rsidRDefault="00880060" w:rsidP="00EA1A88">
            <w:pPr>
              <w:tabs>
                <w:tab w:val="center" w:pos="2224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MDB</w:t>
            </w:r>
          </w:p>
        </w:tc>
      </w:tr>
    </w:tbl>
    <w:p w:rsidR="001D2A0D" w:rsidRDefault="001D2A0D" w:rsidP="001D2A0D">
      <w:pPr>
        <w:jc w:val="both"/>
        <w:rPr>
          <w:rFonts w:asciiTheme="majorHAnsi" w:hAnsiTheme="majorHAnsi"/>
          <w:b/>
          <w:sz w:val="32"/>
          <w:szCs w:val="32"/>
        </w:rPr>
      </w:pP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Art. 68 – Compete à Comissão de Educação, Saúde e Assistência manifestar-se em todos os projetos e matéria que versem sobre assuntos educacionais, artísticos inclusive patrimônio histórico, desportivo e relacionado com a saúde, o saneamento e assistência e a</w:t>
      </w:r>
    </w:p>
    <w:p w:rsidR="001D2A0D" w:rsidRPr="002C4B3C" w:rsidRDefault="001D2A0D" w:rsidP="001D2A0D">
      <w:pPr>
        <w:pStyle w:val="SemEspaamento"/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 w:rsidRPr="002C4B3C">
        <w:rPr>
          <w:rFonts w:asciiTheme="majorHAnsi" w:hAnsiTheme="majorHAnsi" w:cs="Times New Roman"/>
          <w:sz w:val="28"/>
          <w:szCs w:val="28"/>
        </w:rPr>
        <w:t>previdência</w:t>
      </w:r>
      <w:proofErr w:type="gramEnd"/>
      <w:r w:rsidRPr="002C4B3C">
        <w:rPr>
          <w:rFonts w:asciiTheme="majorHAnsi" w:hAnsiTheme="majorHAnsi" w:cs="Times New Roman"/>
          <w:sz w:val="28"/>
          <w:szCs w:val="28"/>
        </w:rPr>
        <w:t xml:space="preserve"> social em geral.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b/>
          <w:sz w:val="28"/>
          <w:szCs w:val="28"/>
        </w:rPr>
        <w:t>Parágrafo único –</w:t>
      </w:r>
      <w:r w:rsidRPr="002C4B3C">
        <w:rPr>
          <w:rFonts w:asciiTheme="majorHAnsi" w:hAnsiTheme="majorHAnsi" w:cs="Times New Roman"/>
          <w:sz w:val="28"/>
          <w:szCs w:val="28"/>
        </w:rPr>
        <w:t xml:space="preserve"> A Comissão de Educação, Saúde e Assistência apreciará obrigatoriamente as proposições que tenha por objetivos.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 xml:space="preserve">I – </w:t>
      </w:r>
      <w:proofErr w:type="gramStart"/>
      <w:r w:rsidRPr="002C4B3C">
        <w:rPr>
          <w:rFonts w:asciiTheme="majorHAnsi" w:hAnsiTheme="majorHAnsi" w:cs="Times New Roman"/>
          <w:sz w:val="28"/>
          <w:szCs w:val="28"/>
        </w:rPr>
        <w:t>concessão</w:t>
      </w:r>
      <w:proofErr w:type="gramEnd"/>
      <w:r w:rsidRPr="002C4B3C">
        <w:rPr>
          <w:rFonts w:asciiTheme="majorHAnsi" w:hAnsiTheme="majorHAnsi" w:cs="Times New Roman"/>
          <w:sz w:val="28"/>
          <w:szCs w:val="28"/>
        </w:rPr>
        <w:t xml:space="preserve"> de bolsas de estudo;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 xml:space="preserve">II – </w:t>
      </w:r>
      <w:proofErr w:type="gramStart"/>
      <w:r w:rsidRPr="002C4B3C">
        <w:rPr>
          <w:rFonts w:asciiTheme="majorHAnsi" w:hAnsiTheme="majorHAnsi" w:cs="Times New Roman"/>
          <w:sz w:val="28"/>
          <w:szCs w:val="28"/>
        </w:rPr>
        <w:t>reorganização</w:t>
      </w:r>
      <w:proofErr w:type="gramEnd"/>
      <w:r w:rsidRPr="002C4B3C">
        <w:rPr>
          <w:rFonts w:asciiTheme="majorHAnsi" w:hAnsiTheme="majorHAnsi" w:cs="Times New Roman"/>
          <w:sz w:val="28"/>
          <w:szCs w:val="28"/>
        </w:rPr>
        <w:t xml:space="preserve"> administrativa da Prefeitura nas áreas de Educação, Saúde e Assistência;</w:t>
      </w:r>
    </w:p>
    <w:p w:rsidR="001D2A0D" w:rsidRPr="001D2A0D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III – implantação de centros comunitários, sob auspícios oficiais.</w:t>
      </w:r>
    </w:p>
    <w:sectPr w:rsidR="001D2A0D" w:rsidRPr="001D2A0D" w:rsidSect="001D2A0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0D"/>
    <w:rsid w:val="00133EDF"/>
    <w:rsid w:val="001D2A0D"/>
    <w:rsid w:val="007F21D3"/>
    <w:rsid w:val="00880060"/>
    <w:rsid w:val="008C69BA"/>
    <w:rsid w:val="00C4285B"/>
    <w:rsid w:val="00E97C5D"/>
    <w:rsid w:val="00EA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DBAAA-20A1-420D-B543-FF3E2984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A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D2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edimara fernanda siqueira</dc:creator>
  <cp:keywords/>
  <dc:description/>
  <cp:lastModifiedBy>Ligia</cp:lastModifiedBy>
  <cp:revision>2</cp:revision>
  <dcterms:created xsi:type="dcterms:W3CDTF">2021-06-30T16:35:00Z</dcterms:created>
  <dcterms:modified xsi:type="dcterms:W3CDTF">2021-06-30T16:35:00Z</dcterms:modified>
</cp:coreProperties>
</file>